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405"/>
        <w:gridCol w:w="5716"/>
        <w:gridCol w:w="6495"/>
      </w:tblGrid>
      <w:tr w:rsidR="00B21A9B" w:rsidTr="00B21A9B">
        <w:trPr>
          <w:tblHeader/>
        </w:trPr>
        <w:tc>
          <w:tcPr>
            <w:tcW w:w="8118" w:type="dxa"/>
            <w:gridSpan w:val="2"/>
          </w:tcPr>
          <w:p w:rsidR="00B21A9B" w:rsidRPr="00856713" w:rsidRDefault="00B21A9B" w:rsidP="009E3FFB">
            <w:pPr>
              <w:pStyle w:val="NoSpacing"/>
              <w:jc w:val="center"/>
              <w:rPr>
                <w:sz w:val="24"/>
                <w:szCs w:val="24"/>
              </w:rPr>
            </w:pPr>
            <w:r w:rsidRPr="00856713">
              <w:rPr>
                <w:sz w:val="24"/>
                <w:szCs w:val="24"/>
              </w:rPr>
              <w:t xml:space="preserve">Current </w:t>
            </w:r>
          </w:p>
        </w:tc>
        <w:tc>
          <w:tcPr>
            <w:tcW w:w="6498" w:type="dxa"/>
          </w:tcPr>
          <w:p w:rsidR="00B21A9B" w:rsidRPr="00856713" w:rsidRDefault="00B21A9B" w:rsidP="009E3FFB">
            <w:pPr>
              <w:pStyle w:val="NoSpacing"/>
              <w:jc w:val="center"/>
              <w:rPr>
                <w:sz w:val="24"/>
                <w:szCs w:val="24"/>
              </w:rPr>
            </w:pPr>
            <w:r w:rsidRPr="00856713">
              <w:rPr>
                <w:sz w:val="24"/>
                <w:szCs w:val="24"/>
              </w:rPr>
              <w:t xml:space="preserve">Proposed </w:t>
            </w:r>
          </w:p>
        </w:tc>
      </w:tr>
      <w:tr w:rsidR="00B21A9B" w:rsidTr="00B21A9B">
        <w:trPr>
          <w:tblHeader/>
        </w:trPr>
        <w:tc>
          <w:tcPr>
            <w:tcW w:w="2405" w:type="dxa"/>
            <w:shd w:val="clear" w:color="auto" w:fill="D9D9D9" w:themeFill="background1" w:themeFillShade="D9"/>
          </w:tcPr>
          <w:p w:rsidR="00B21A9B" w:rsidRPr="00856713" w:rsidRDefault="00B21A9B" w:rsidP="009E3FFB">
            <w:pPr>
              <w:pStyle w:val="NoSpacing"/>
              <w:jc w:val="center"/>
              <w:rPr>
                <w:sz w:val="24"/>
                <w:szCs w:val="24"/>
              </w:rPr>
            </w:pPr>
            <w:r w:rsidRPr="00856713">
              <w:rPr>
                <w:sz w:val="24"/>
                <w:szCs w:val="24"/>
              </w:rPr>
              <w:t>Section</w:t>
            </w:r>
          </w:p>
        </w:tc>
        <w:tc>
          <w:tcPr>
            <w:tcW w:w="5713" w:type="dxa"/>
            <w:shd w:val="clear" w:color="auto" w:fill="D9D9D9" w:themeFill="background1" w:themeFillShade="D9"/>
          </w:tcPr>
          <w:p w:rsidR="00B21A9B" w:rsidRPr="00856713" w:rsidRDefault="00B21A9B" w:rsidP="009E3FFB">
            <w:pPr>
              <w:pStyle w:val="NoSpacing"/>
              <w:jc w:val="center"/>
              <w:rPr>
                <w:sz w:val="24"/>
                <w:szCs w:val="24"/>
              </w:rPr>
            </w:pPr>
            <w:r w:rsidRPr="00856713">
              <w:rPr>
                <w:sz w:val="24"/>
                <w:szCs w:val="24"/>
              </w:rPr>
              <w:t>Description</w:t>
            </w:r>
          </w:p>
        </w:tc>
        <w:tc>
          <w:tcPr>
            <w:tcW w:w="6498" w:type="dxa"/>
            <w:shd w:val="clear" w:color="auto" w:fill="D9D9D9" w:themeFill="background1" w:themeFillShade="D9"/>
          </w:tcPr>
          <w:p w:rsidR="00B21A9B" w:rsidRPr="00856713" w:rsidRDefault="00B21A9B" w:rsidP="009E3FFB">
            <w:pPr>
              <w:pStyle w:val="NoSpacing"/>
              <w:jc w:val="center"/>
              <w:rPr>
                <w:sz w:val="24"/>
                <w:szCs w:val="24"/>
              </w:rPr>
            </w:pPr>
            <w:r w:rsidRPr="00856713">
              <w:rPr>
                <w:sz w:val="24"/>
                <w:szCs w:val="24"/>
              </w:rPr>
              <w:t>Description</w:t>
            </w:r>
          </w:p>
        </w:tc>
      </w:tr>
      <w:tr w:rsidR="007A45F5" w:rsidTr="009F2DAB">
        <w:trPr>
          <w:trHeight w:val="588"/>
        </w:trPr>
        <w:tc>
          <w:tcPr>
            <w:tcW w:w="2405" w:type="dxa"/>
            <w:tcBorders>
              <w:bottom w:val="single" w:sz="4" w:space="0" w:color="auto"/>
            </w:tcBorders>
            <w:vAlign w:val="center"/>
          </w:tcPr>
          <w:p w:rsidR="00414651" w:rsidRDefault="00414651" w:rsidP="006F7F0D">
            <w:pPr>
              <w:pStyle w:val="NoSpacing"/>
              <w:jc w:val="center"/>
              <w:rPr>
                <w:sz w:val="24"/>
                <w:szCs w:val="24"/>
              </w:rPr>
            </w:pPr>
          </w:p>
          <w:p w:rsidR="009310CA" w:rsidRDefault="00414651" w:rsidP="006F7F0D">
            <w:pPr>
              <w:pStyle w:val="NoSpacing"/>
              <w:jc w:val="center"/>
              <w:rPr>
                <w:sz w:val="24"/>
                <w:szCs w:val="24"/>
              </w:rPr>
            </w:pPr>
            <w:r>
              <w:rPr>
                <w:sz w:val="24"/>
                <w:szCs w:val="24"/>
              </w:rPr>
              <w:t>Section 3</w:t>
            </w:r>
          </w:p>
          <w:p w:rsidR="00414651" w:rsidRDefault="00414651" w:rsidP="006F7F0D">
            <w:pPr>
              <w:pStyle w:val="NoSpacing"/>
              <w:jc w:val="center"/>
              <w:rPr>
                <w:sz w:val="24"/>
                <w:szCs w:val="24"/>
              </w:rPr>
            </w:pPr>
            <w:r>
              <w:rPr>
                <w:sz w:val="24"/>
                <w:szCs w:val="24"/>
              </w:rPr>
              <w:t>QUICK REFERENCE TO KEY WEBSITES</w:t>
            </w:r>
          </w:p>
          <w:p w:rsidR="007A45F5" w:rsidRPr="00856713" w:rsidRDefault="007A45F5" w:rsidP="006F7F0D">
            <w:pPr>
              <w:pStyle w:val="NoSpacing"/>
              <w:jc w:val="center"/>
              <w:rPr>
                <w:caps/>
                <w:sz w:val="24"/>
                <w:szCs w:val="24"/>
              </w:rPr>
            </w:pPr>
          </w:p>
        </w:tc>
        <w:tc>
          <w:tcPr>
            <w:tcW w:w="5713" w:type="dxa"/>
            <w:tcBorders>
              <w:bottom w:val="single" w:sz="4" w:space="0" w:color="auto"/>
            </w:tcBorders>
            <w:vAlign w:val="center"/>
          </w:tcPr>
          <w:p w:rsidR="009F2DAB" w:rsidRDefault="009F2DAB" w:rsidP="00BA2200">
            <w:pPr>
              <w:pStyle w:val="NoSpacing"/>
              <w:rPr>
                <w:sz w:val="24"/>
                <w:szCs w:val="24"/>
              </w:rPr>
            </w:pPr>
          </w:p>
          <w:p w:rsidR="007A45F5" w:rsidRPr="00856713" w:rsidRDefault="007A45F5" w:rsidP="00BA2200">
            <w:pPr>
              <w:pStyle w:val="NoSpacing"/>
              <w:rPr>
                <w:sz w:val="24"/>
                <w:szCs w:val="24"/>
              </w:rPr>
            </w:pPr>
          </w:p>
        </w:tc>
        <w:tc>
          <w:tcPr>
            <w:tcW w:w="6498" w:type="dxa"/>
            <w:tcBorders>
              <w:bottom w:val="single" w:sz="4" w:space="0" w:color="auto"/>
            </w:tcBorders>
            <w:vAlign w:val="center"/>
          </w:tcPr>
          <w:p w:rsidR="00BA2200" w:rsidRDefault="00414651" w:rsidP="00BA2200">
            <w:pPr>
              <w:rPr>
                <w:sz w:val="24"/>
                <w:szCs w:val="24"/>
              </w:rPr>
            </w:pPr>
            <w:r>
              <w:rPr>
                <w:sz w:val="24"/>
                <w:szCs w:val="24"/>
              </w:rPr>
              <w:t xml:space="preserve">List of websites updated to reflect current providers. </w:t>
            </w:r>
          </w:p>
          <w:p w:rsidR="007A45F5" w:rsidRPr="00856713" w:rsidRDefault="007A45F5" w:rsidP="00BA2200">
            <w:pPr>
              <w:rPr>
                <w:sz w:val="24"/>
                <w:szCs w:val="24"/>
              </w:rPr>
            </w:pPr>
          </w:p>
        </w:tc>
      </w:tr>
      <w:tr w:rsidR="009F2DAB" w:rsidTr="009F2DAB">
        <w:trPr>
          <w:trHeight w:val="1452"/>
        </w:trPr>
        <w:tc>
          <w:tcPr>
            <w:tcW w:w="2405" w:type="dxa"/>
            <w:tcBorders>
              <w:top w:val="single" w:sz="4" w:space="0" w:color="auto"/>
            </w:tcBorders>
            <w:vAlign w:val="center"/>
          </w:tcPr>
          <w:p w:rsidR="009F2DAB" w:rsidRDefault="009F2DAB" w:rsidP="006F7F0D">
            <w:pPr>
              <w:pStyle w:val="NoSpacing"/>
              <w:jc w:val="center"/>
              <w:rPr>
                <w:sz w:val="24"/>
                <w:szCs w:val="24"/>
              </w:rPr>
            </w:pPr>
          </w:p>
          <w:p w:rsidR="009F2DAB" w:rsidRPr="00856713" w:rsidRDefault="009F2DAB" w:rsidP="006F7F0D">
            <w:pPr>
              <w:pStyle w:val="NoSpacing"/>
              <w:jc w:val="center"/>
              <w:rPr>
                <w:sz w:val="24"/>
                <w:szCs w:val="24"/>
              </w:rPr>
            </w:pPr>
            <w:r w:rsidRPr="00856713">
              <w:rPr>
                <w:sz w:val="24"/>
                <w:szCs w:val="24"/>
              </w:rPr>
              <w:t>Section 4.11 ¶ 1</w:t>
            </w:r>
          </w:p>
          <w:p w:rsidR="009F2DAB" w:rsidRDefault="009F2DAB" w:rsidP="006F7F0D">
            <w:pPr>
              <w:pStyle w:val="NoSpacing"/>
              <w:jc w:val="center"/>
              <w:rPr>
                <w:sz w:val="24"/>
                <w:szCs w:val="24"/>
              </w:rPr>
            </w:pPr>
            <w:r w:rsidRPr="00856713">
              <w:rPr>
                <w:caps/>
                <w:sz w:val="24"/>
                <w:szCs w:val="24"/>
              </w:rPr>
              <w:t>Tuition Reimbursement policies</w:t>
            </w:r>
          </w:p>
        </w:tc>
        <w:tc>
          <w:tcPr>
            <w:tcW w:w="5713" w:type="dxa"/>
            <w:tcBorders>
              <w:top w:val="single" w:sz="4" w:space="0" w:color="auto"/>
            </w:tcBorders>
            <w:vAlign w:val="center"/>
          </w:tcPr>
          <w:p w:rsidR="009F2DAB" w:rsidRDefault="009F2DAB" w:rsidP="00BA2200">
            <w:pPr>
              <w:pStyle w:val="NoSpacing"/>
              <w:rPr>
                <w:sz w:val="24"/>
                <w:szCs w:val="24"/>
              </w:rPr>
            </w:pPr>
            <w:r w:rsidRPr="00856713">
              <w:rPr>
                <w:sz w:val="24"/>
                <w:szCs w:val="24"/>
              </w:rPr>
              <w:t>Such determination is made in the sole discretion of the Executive Director.</w:t>
            </w:r>
          </w:p>
        </w:tc>
        <w:tc>
          <w:tcPr>
            <w:tcW w:w="6498" w:type="dxa"/>
            <w:tcBorders>
              <w:top w:val="single" w:sz="4" w:space="0" w:color="auto"/>
            </w:tcBorders>
            <w:vAlign w:val="center"/>
          </w:tcPr>
          <w:p w:rsidR="009F2DAB" w:rsidRDefault="009F2DAB" w:rsidP="00BA2200">
            <w:pPr>
              <w:rPr>
                <w:sz w:val="24"/>
                <w:szCs w:val="24"/>
              </w:rPr>
            </w:pPr>
          </w:p>
          <w:p w:rsidR="009F2DAB" w:rsidRDefault="009F2DAB" w:rsidP="00BA2200">
            <w:pPr>
              <w:rPr>
                <w:sz w:val="24"/>
                <w:szCs w:val="24"/>
              </w:rPr>
            </w:pPr>
            <w:r w:rsidRPr="00856713">
              <w:rPr>
                <w:sz w:val="24"/>
                <w:szCs w:val="24"/>
              </w:rPr>
              <w:t>Such determination is made by the employee’s department Director and the Deputy Executive</w:t>
            </w:r>
            <w:r>
              <w:rPr>
                <w:sz w:val="24"/>
                <w:szCs w:val="24"/>
              </w:rPr>
              <w:t xml:space="preserve"> Director, with final authority </w:t>
            </w:r>
            <w:r w:rsidRPr="00856713">
              <w:rPr>
                <w:sz w:val="24"/>
                <w:szCs w:val="24"/>
              </w:rPr>
              <w:t xml:space="preserve">the sole discretion of the Executive Director.  </w:t>
            </w:r>
          </w:p>
        </w:tc>
      </w:tr>
      <w:tr w:rsidR="007A45F5" w:rsidTr="00B21A9B">
        <w:trPr>
          <w:trHeight w:val="980"/>
        </w:trPr>
        <w:tc>
          <w:tcPr>
            <w:tcW w:w="2405" w:type="dxa"/>
            <w:vAlign w:val="center"/>
          </w:tcPr>
          <w:p w:rsidR="00133A4C" w:rsidRPr="00856713" w:rsidRDefault="00133A4C" w:rsidP="00133A4C">
            <w:pPr>
              <w:pStyle w:val="NoSpacing"/>
              <w:jc w:val="center"/>
              <w:rPr>
                <w:sz w:val="24"/>
                <w:szCs w:val="24"/>
              </w:rPr>
            </w:pPr>
            <w:r w:rsidRPr="00856713">
              <w:rPr>
                <w:sz w:val="24"/>
                <w:szCs w:val="24"/>
              </w:rPr>
              <w:t>Section 4.1</w:t>
            </w:r>
            <w:r w:rsidR="00E40750" w:rsidRPr="00856713">
              <w:rPr>
                <w:sz w:val="24"/>
                <w:szCs w:val="24"/>
              </w:rPr>
              <w:t>1</w:t>
            </w:r>
            <w:r w:rsidRPr="00856713">
              <w:rPr>
                <w:sz w:val="24"/>
                <w:szCs w:val="24"/>
              </w:rPr>
              <w:t xml:space="preserve"> ¶ 2</w:t>
            </w:r>
          </w:p>
          <w:p w:rsidR="007A45F5" w:rsidRPr="00856713" w:rsidRDefault="00133A4C" w:rsidP="00133A4C">
            <w:pPr>
              <w:pStyle w:val="NoSpacing"/>
              <w:jc w:val="center"/>
              <w:rPr>
                <w:caps/>
                <w:sz w:val="24"/>
                <w:szCs w:val="24"/>
              </w:rPr>
            </w:pPr>
            <w:r w:rsidRPr="00856713">
              <w:rPr>
                <w:caps/>
                <w:sz w:val="24"/>
                <w:szCs w:val="24"/>
              </w:rPr>
              <w:t>Tuition Reimbursement policies</w:t>
            </w:r>
          </w:p>
        </w:tc>
        <w:tc>
          <w:tcPr>
            <w:tcW w:w="5713" w:type="dxa"/>
            <w:vAlign w:val="center"/>
          </w:tcPr>
          <w:p w:rsidR="00BA2200" w:rsidRDefault="00BA2200" w:rsidP="00BA2200">
            <w:pPr>
              <w:pStyle w:val="NoSpacing"/>
              <w:rPr>
                <w:sz w:val="24"/>
                <w:szCs w:val="24"/>
              </w:rPr>
            </w:pPr>
          </w:p>
          <w:p w:rsidR="007A45F5" w:rsidRPr="00856713" w:rsidRDefault="00B67980" w:rsidP="00BA2200">
            <w:pPr>
              <w:pStyle w:val="NoSpacing"/>
              <w:rPr>
                <w:sz w:val="24"/>
                <w:szCs w:val="24"/>
              </w:rPr>
            </w:pPr>
            <w:r w:rsidRPr="00856713">
              <w:rPr>
                <w:sz w:val="24"/>
                <w:szCs w:val="24"/>
              </w:rPr>
              <w:t>Employees interested in taking a course or coursework will submit their requests to their supervisor in advance of enrollment in the course if the employee plans to request reimbursement. Any reimbursement is subject to sufficient funds in the budget, as determined by the Deputy Director of Finance of FMA (the “Deputy Director of Finance”). Final approval must be granted by the Executive Director. If a course is subsidized by another source (e.g. scholarship, grant-in-aids, veteran’s educational payments), tuition payment under this policy is limited to those costs not covered by any other source or sources.</w:t>
            </w:r>
          </w:p>
        </w:tc>
        <w:tc>
          <w:tcPr>
            <w:tcW w:w="6498" w:type="dxa"/>
            <w:vAlign w:val="center"/>
          </w:tcPr>
          <w:p w:rsidR="007A45F5" w:rsidRPr="00856713" w:rsidRDefault="00133A4C" w:rsidP="00BA2200">
            <w:pPr>
              <w:rPr>
                <w:b/>
                <w:sz w:val="24"/>
                <w:szCs w:val="24"/>
              </w:rPr>
            </w:pPr>
            <w:r w:rsidRPr="00856713">
              <w:rPr>
                <w:sz w:val="24"/>
                <w:szCs w:val="24"/>
              </w:rPr>
              <w:t xml:space="preserve">Employees interested in taking a course or coursework will submit their requests to their department Director in advance of enrollment in the course if the employee plans to request reimbursement. Any reimbursement is subject to sufficient funds in the budget, as determined by the Deputy Director of Finance of FMA. Approval must also be granted by the Deputy Executive Director with final approval granted by the Executive Director. If a course is subsidized by another source (e.g. scholarship, grant-in-aids, veteran’s educational payments), tuition payment under this policy is limited to those costs not covered by any other source or sources.  </w:t>
            </w:r>
          </w:p>
        </w:tc>
      </w:tr>
      <w:tr w:rsidR="007A45F5" w:rsidTr="00A031C0">
        <w:trPr>
          <w:trHeight w:val="980"/>
        </w:trPr>
        <w:tc>
          <w:tcPr>
            <w:tcW w:w="2405" w:type="dxa"/>
            <w:tcBorders>
              <w:left w:val="single" w:sz="4" w:space="0" w:color="auto"/>
              <w:bottom w:val="nil"/>
              <w:right w:val="single" w:sz="4" w:space="0" w:color="auto"/>
            </w:tcBorders>
            <w:vAlign w:val="center"/>
          </w:tcPr>
          <w:p w:rsidR="00133A4C" w:rsidRPr="00856713" w:rsidRDefault="00133A4C" w:rsidP="00133A4C">
            <w:pPr>
              <w:pStyle w:val="NoSpacing"/>
              <w:jc w:val="center"/>
              <w:rPr>
                <w:sz w:val="24"/>
                <w:szCs w:val="24"/>
              </w:rPr>
            </w:pPr>
            <w:r w:rsidRPr="00856713">
              <w:rPr>
                <w:sz w:val="24"/>
                <w:szCs w:val="24"/>
              </w:rPr>
              <w:t>Section 4.1</w:t>
            </w:r>
            <w:r w:rsidR="00E40750" w:rsidRPr="00856713">
              <w:rPr>
                <w:sz w:val="24"/>
                <w:szCs w:val="24"/>
              </w:rPr>
              <w:t>1</w:t>
            </w:r>
            <w:r w:rsidRPr="00856713">
              <w:rPr>
                <w:sz w:val="24"/>
                <w:szCs w:val="24"/>
              </w:rPr>
              <w:t xml:space="preserve"> ¶ 3</w:t>
            </w:r>
          </w:p>
          <w:p w:rsidR="007A45F5" w:rsidRPr="00856713" w:rsidRDefault="00133A4C" w:rsidP="00133A4C">
            <w:pPr>
              <w:pStyle w:val="NoSpacing"/>
              <w:jc w:val="center"/>
              <w:rPr>
                <w:sz w:val="24"/>
                <w:szCs w:val="24"/>
              </w:rPr>
            </w:pPr>
            <w:r w:rsidRPr="00856713">
              <w:rPr>
                <w:caps/>
                <w:sz w:val="24"/>
                <w:szCs w:val="24"/>
              </w:rPr>
              <w:t>Tuition Reimbursement policies</w:t>
            </w:r>
          </w:p>
        </w:tc>
        <w:tc>
          <w:tcPr>
            <w:tcW w:w="5713" w:type="dxa"/>
            <w:tcBorders>
              <w:left w:val="single" w:sz="4" w:space="0" w:color="auto"/>
              <w:bottom w:val="nil"/>
              <w:right w:val="single" w:sz="4" w:space="0" w:color="auto"/>
            </w:tcBorders>
            <w:vAlign w:val="center"/>
          </w:tcPr>
          <w:p w:rsidR="00BA2200" w:rsidRDefault="00BA2200" w:rsidP="00BA2200">
            <w:pPr>
              <w:rPr>
                <w:sz w:val="24"/>
                <w:szCs w:val="24"/>
              </w:rPr>
            </w:pPr>
          </w:p>
          <w:p w:rsidR="00B67980" w:rsidRPr="00856713" w:rsidRDefault="00B67980" w:rsidP="00BA2200">
            <w:pPr>
              <w:rPr>
                <w:sz w:val="24"/>
                <w:szCs w:val="24"/>
              </w:rPr>
            </w:pPr>
            <w:r w:rsidRPr="00856713">
              <w:rPr>
                <w:sz w:val="24"/>
                <w:szCs w:val="24"/>
              </w:rPr>
              <w:t xml:space="preserve">The FMA will reimburse up to the equivalent of one (3 credit) class per semester at the then-prevailing rate of Christopher Newport University – Off Campus, In-State, part-time rate. </w:t>
            </w:r>
          </w:p>
          <w:p w:rsidR="007A45F5" w:rsidRPr="00856713" w:rsidRDefault="007A45F5" w:rsidP="00BA2200">
            <w:pPr>
              <w:pStyle w:val="NoSpacing"/>
              <w:rPr>
                <w:sz w:val="24"/>
                <w:szCs w:val="24"/>
              </w:rPr>
            </w:pPr>
          </w:p>
        </w:tc>
        <w:tc>
          <w:tcPr>
            <w:tcW w:w="6498" w:type="dxa"/>
            <w:tcBorders>
              <w:left w:val="single" w:sz="4" w:space="0" w:color="auto"/>
              <w:bottom w:val="nil"/>
              <w:right w:val="single" w:sz="4" w:space="0" w:color="auto"/>
            </w:tcBorders>
            <w:vAlign w:val="center"/>
          </w:tcPr>
          <w:p w:rsidR="007A45F5" w:rsidRPr="00856713" w:rsidRDefault="00133A4C" w:rsidP="00BA2200">
            <w:pPr>
              <w:rPr>
                <w:sz w:val="24"/>
                <w:szCs w:val="24"/>
              </w:rPr>
            </w:pPr>
            <w:r w:rsidRPr="00856713">
              <w:rPr>
                <w:sz w:val="24"/>
                <w:szCs w:val="24"/>
              </w:rPr>
              <w:t xml:space="preserve">The limit for reimbursement during the fiscal year will be equivalent to 9 credit hours multiplied by the then-prevailing rate of Christopher Newport University – Off Campus, In-State, part-time, undergraduate or graduate rate as applicable.  </w:t>
            </w:r>
          </w:p>
        </w:tc>
      </w:tr>
      <w:tr w:rsidR="00A031C0" w:rsidTr="00A031C0">
        <w:trPr>
          <w:trHeight w:val="60"/>
        </w:trPr>
        <w:tc>
          <w:tcPr>
            <w:tcW w:w="2400" w:type="dxa"/>
            <w:tcBorders>
              <w:top w:val="nil"/>
              <w:left w:val="single" w:sz="4" w:space="0" w:color="auto"/>
              <w:bottom w:val="single" w:sz="4" w:space="0" w:color="auto"/>
              <w:right w:val="single" w:sz="4" w:space="0" w:color="auto"/>
            </w:tcBorders>
            <w:vAlign w:val="center"/>
          </w:tcPr>
          <w:p w:rsidR="00A031C0" w:rsidRPr="00856713" w:rsidRDefault="00A031C0" w:rsidP="00E209A1">
            <w:pPr>
              <w:pStyle w:val="NoSpacing"/>
              <w:jc w:val="center"/>
              <w:rPr>
                <w:sz w:val="24"/>
                <w:szCs w:val="24"/>
              </w:rPr>
            </w:pPr>
          </w:p>
        </w:tc>
        <w:tc>
          <w:tcPr>
            <w:tcW w:w="5718" w:type="dxa"/>
            <w:tcBorders>
              <w:top w:val="nil"/>
              <w:left w:val="single" w:sz="4" w:space="0" w:color="auto"/>
              <w:bottom w:val="single" w:sz="4" w:space="0" w:color="auto"/>
              <w:right w:val="single" w:sz="4" w:space="0" w:color="auto"/>
            </w:tcBorders>
            <w:vAlign w:val="center"/>
          </w:tcPr>
          <w:p w:rsidR="00A031C0" w:rsidRPr="00856713" w:rsidRDefault="00A031C0" w:rsidP="00BA2200">
            <w:pPr>
              <w:pStyle w:val="NoSpacing"/>
              <w:rPr>
                <w:sz w:val="24"/>
                <w:szCs w:val="24"/>
              </w:rPr>
            </w:pPr>
          </w:p>
        </w:tc>
        <w:tc>
          <w:tcPr>
            <w:tcW w:w="6498" w:type="dxa"/>
            <w:tcBorders>
              <w:top w:val="nil"/>
              <w:left w:val="single" w:sz="4" w:space="0" w:color="auto"/>
              <w:bottom w:val="single" w:sz="4" w:space="0" w:color="auto"/>
              <w:right w:val="single" w:sz="4" w:space="0" w:color="auto"/>
            </w:tcBorders>
            <w:vAlign w:val="center"/>
          </w:tcPr>
          <w:p w:rsidR="00A031C0" w:rsidRPr="00856713" w:rsidRDefault="00A031C0" w:rsidP="00BA2200">
            <w:pPr>
              <w:pStyle w:val="NoSpacing"/>
              <w:rPr>
                <w:sz w:val="24"/>
                <w:szCs w:val="24"/>
              </w:rPr>
            </w:pPr>
          </w:p>
        </w:tc>
      </w:tr>
    </w:tbl>
    <w:p w:rsidR="000D1213" w:rsidRDefault="000D1213" w:rsidP="003908F0">
      <w:pPr>
        <w:pStyle w:val="NoSpacing"/>
        <w:jc w:val="center"/>
      </w:pPr>
    </w:p>
    <w:sectPr w:rsidR="000D1213" w:rsidSect="00C45379">
      <w:headerReference w:type="default" r:id="rId6"/>
      <w:pgSz w:w="15840" w:h="12240" w:orient="landscape"/>
      <w:pgMar w:top="180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1E" w:rsidRDefault="0057711E" w:rsidP="00C842C6">
      <w:pPr>
        <w:spacing w:after="0" w:line="240" w:lineRule="auto"/>
      </w:pPr>
      <w:r>
        <w:separator/>
      </w:r>
    </w:p>
  </w:endnote>
  <w:endnote w:type="continuationSeparator" w:id="0">
    <w:p w:rsidR="0057711E" w:rsidRDefault="0057711E" w:rsidP="00C84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1E" w:rsidRDefault="0057711E" w:rsidP="00C842C6">
      <w:pPr>
        <w:spacing w:after="0" w:line="240" w:lineRule="auto"/>
      </w:pPr>
      <w:r>
        <w:separator/>
      </w:r>
    </w:p>
  </w:footnote>
  <w:footnote w:type="continuationSeparator" w:id="0">
    <w:p w:rsidR="0057711E" w:rsidRDefault="0057711E" w:rsidP="00C84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1E" w:rsidRDefault="00ED6846" w:rsidP="00ED6846">
    <w:pPr>
      <w:pStyle w:val="NoSpacing"/>
    </w:pPr>
    <w:r>
      <w:rPr>
        <w:noProof/>
      </w:rPr>
      <w:drawing>
        <wp:inline distT="0" distB="0" distL="0" distR="0">
          <wp:extent cx="1306830" cy="353901"/>
          <wp:effectExtent l="19050" t="0" r="7620" b="0"/>
          <wp:docPr id="2" name="Picture 1" descr="FM_128495_HorzLogo_CMYK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_128495_HorzLogo_CMYK_FINAL.jpg"/>
                  <pic:cNvPicPr/>
                </pic:nvPicPr>
                <pic:blipFill>
                  <a:blip r:embed="rId1"/>
                  <a:stretch>
                    <a:fillRect/>
                  </a:stretch>
                </pic:blipFill>
                <pic:spPr>
                  <a:xfrm>
                    <a:off x="0" y="0"/>
                    <a:ext cx="1306744" cy="353878"/>
                  </a:xfrm>
                  <a:prstGeom prst="rect">
                    <a:avLst/>
                  </a:prstGeom>
                </pic:spPr>
              </pic:pic>
            </a:graphicData>
          </a:graphic>
        </wp:inline>
      </w:drawing>
    </w:r>
    <w:r>
      <w:t xml:space="preserve">                                                          </w:t>
    </w:r>
    <w:r w:rsidR="0057711E" w:rsidRPr="00E246BC">
      <w:rPr>
        <w:b/>
        <w:sz w:val="24"/>
        <w:szCs w:val="24"/>
      </w:rPr>
      <w:t>Summary of Changes to the FMA Employee Handbook</w:t>
    </w:r>
  </w:p>
  <w:p w:rsidR="0057711E" w:rsidRDefault="005771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3908F0"/>
    <w:rsid w:val="00003C7C"/>
    <w:rsid w:val="000170C9"/>
    <w:rsid w:val="00024BF7"/>
    <w:rsid w:val="00027199"/>
    <w:rsid w:val="0006276F"/>
    <w:rsid w:val="00075770"/>
    <w:rsid w:val="000B0697"/>
    <w:rsid w:val="000C3E58"/>
    <w:rsid w:val="000D1213"/>
    <w:rsid w:val="000D6576"/>
    <w:rsid w:val="00116DCA"/>
    <w:rsid w:val="00132D66"/>
    <w:rsid w:val="00133A4C"/>
    <w:rsid w:val="00133AD6"/>
    <w:rsid w:val="00140674"/>
    <w:rsid w:val="00144F7A"/>
    <w:rsid w:val="001668BF"/>
    <w:rsid w:val="00183300"/>
    <w:rsid w:val="00185A52"/>
    <w:rsid w:val="0019393E"/>
    <w:rsid w:val="001940E2"/>
    <w:rsid w:val="00196C9C"/>
    <w:rsid w:val="00197E3B"/>
    <w:rsid w:val="001E12DC"/>
    <w:rsid w:val="001F76F8"/>
    <w:rsid w:val="00203530"/>
    <w:rsid w:val="00214F08"/>
    <w:rsid w:val="002325ED"/>
    <w:rsid w:val="002733FA"/>
    <w:rsid w:val="00284D8E"/>
    <w:rsid w:val="00284F9A"/>
    <w:rsid w:val="00294436"/>
    <w:rsid w:val="002A081E"/>
    <w:rsid w:val="002A6C88"/>
    <w:rsid w:val="002C59E8"/>
    <w:rsid w:val="002E3AD9"/>
    <w:rsid w:val="002F6C4C"/>
    <w:rsid w:val="00302673"/>
    <w:rsid w:val="00323178"/>
    <w:rsid w:val="0033076C"/>
    <w:rsid w:val="003525C3"/>
    <w:rsid w:val="00354CB0"/>
    <w:rsid w:val="00356594"/>
    <w:rsid w:val="00374392"/>
    <w:rsid w:val="00380084"/>
    <w:rsid w:val="0038544E"/>
    <w:rsid w:val="003908F0"/>
    <w:rsid w:val="003A69C1"/>
    <w:rsid w:val="003D1BB6"/>
    <w:rsid w:val="003E553C"/>
    <w:rsid w:val="00414651"/>
    <w:rsid w:val="00430952"/>
    <w:rsid w:val="00433FDE"/>
    <w:rsid w:val="004707FB"/>
    <w:rsid w:val="004903FF"/>
    <w:rsid w:val="004A2B44"/>
    <w:rsid w:val="004B209E"/>
    <w:rsid w:val="004B27C3"/>
    <w:rsid w:val="004D2F22"/>
    <w:rsid w:val="004E2DE6"/>
    <w:rsid w:val="004F2AF4"/>
    <w:rsid w:val="00521BD5"/>
    <w:rsid w:val="00522277"/>
    <w:rsid w:val="00530477"/>
    <w:rsid w:val="00576DC3"/>
    <w:rsid w:val="0057711E"/>
    <w:rsid w:val="00582014"/>
    <w:rsid w:val="005B3B8C"/>
    <w:rsid w:val="005C29AD"/>
    <w:rsid w:val="005C7C7A"/>
    <w:rsid w:val="005E06E6"/>
    <w:rsid w:val="005E3179"/>
    <w:rsid w:val="005F4F1E"/>
    <w:rsid w:val="005F6D44"/>
    <w:rsid w:val="00601630"/>
    <w:rsid w:val="006442EA"/>
    <w:rsid w:val="00644C50"/>
    <w:rsid w:val="00665453"/>
    <w:rsid w:val="00671DA9"/>
    <w:rsid w:val="0068782E"/>
    <w:rsid w:val="006A5181"/>
    <w:rsid w:val="006B243C"/>
    <w:rsid w:val="006B6F96"/>
    <w:rsid w:val="006D0BDA"/>
    <w:rsid w:val="0071218B"/>
    <w:rsid w:val="0074627F"/>
    <w:rsid w:val="00761C41"/>
    <w:rsid w:val="00771045"/>
    <w:rsid w:val="007A1E84"/>
    <w:rsid w:val="007A41B2"/>
    <w:rsid w:val="007A45F5"/>
    <w:rsid w:val="007D065A"/>
    <w:rsid w:val="007E09C6"/>
    <w:rsid w:val="007F0195"/>
    <w:rsid w:val="00814FA0"/>
    <w:rsid w:val="0081580D"/>
    <w:rsid w:val="00816A59"/>
    <w:rsid w:val="008260F3"/>
    <w:rsid w:val="008344B8"/>
    <w:rsid w:val="00834D51"/>
    <w:rsid w:val="008512FD"/>
    <w:rsid w:val="00856713"/>
    <w:rsid w:val="008578C0"/>
    <w:rsid w:val="0089753F"/>
    <w:rsid w:val="008A2291"/>
    <w:rsid w:val="008A4BB3"/>
    <w:rsid w:val="008C6C11"/>
    <w:rsid w:val="008E3552"/>
    <w:rsid w:val="00903333"/>
    <w:rsid w:val="00906682"/>
    <w:rsid w:val="009310CA"/>
    <w:rsid w:val="00936778"/>
    <w:rsid w:val="009559D4"/>
    <w:rsid w:val="00992927"/>
    <w:rsid w:val="009A6CD7"/>
    <w:rsid w:val="009C6956"/>
    <w:rsid w:val="009E3FFB"/>
    <w:rsid w:val="009F2DAB"/>
    <w:rsid w:val="009F3963"/>
    <w:rsid w:val="00A0086E"/>
    <w:rsid w:val="00A031C0"/>
    <w:rsid w:val="00A053D5"/>
    <w:rsid w:val="00A313EA"/>
    <w:rsid w:val="00A412E0"/>
    <w:rsid w:val="00A41A92"/>
    <w:rsid w:val="00A51504"/>
    <w:rsid w:val="00A91160"/>
    <w:rsid w:val="00A95579"/>
    <w:rsid w:val="00AC58F8"/>
    <w:rsid w:val="00AC6041"/>
    <w:rsid w:val="00AE18F3"/>
    <w:rsid w:val="00AE4420"/>
    <w:rsid w:val="00AF280B"/>
    <w:rsid w:val="00B04629"/>
    <w:rsid w:val="00B12A6D"/>
    <w:rsid w:val="00B21A9B"/>
    <w:rsid w:val="00B26E5D"/>
    <w:rsid w:val="00B67980"/>
    <w:rsid w:val="00B731D6"/>
    <w:rsid w:val="00BA1C30"/>
    <w:rsid w:val="00BA2200"/>
    <w:rsid w:val="00BD4138"/>
    <w:rsid w:val="00C4016D"/>
    <w:rsid w:val="00C45379"/>
    <w:rsid w:val="00C538B7"/>
    <w:rsid w:val="00C61D8A"/>
    <w:rsid w:val="00C82EFB"/>
    <w:rsid w:val="00C842C6"/>
    <w:rsid w:val="00CC7142"/>
    <w:rsid w:val="00CE03C9"/>
    <w:rsid w:val="00CE61AC"/>
    <w:rsid w:val="00CF19DD"/>
    <w:rsid w:val="00D01330"/>
    <w:rsid w:val="00D0700C"/>
    <w:rsid w:val="00D53D10"/>
    <w:rsid w:val="00D76EE7"/>
    <w:rsid w:val="00D80833"/>
    <w:rsid w:val="00D85C6C"/>
    <w:rsid w:val="00DD6DFC"/>
    <w:rsid w:val="00DE60D8"/>
    <w:rsid w:val="00DF1D8B"/>
    <w:rsid w:val="00DF4073"/>
    <w:rsid w:val="00E05C41"/>
    <w:rsid w:val="00E209A1"/>
    <w:rsid w:val="00E24102"/>
    <w:rsid w:val="00E246BC"/>
    <w:rsid w:val="00E27CEF"/>
    <w:rsid w:val="00E32981"/>
    <w:rsid w:val="00E40750"/>
    <w:rsid w:val="00E534AA"/>
    <w:rsid w:val="00E77764"/>
    <w:rsid w:val="00E84DFD"/>
    <w:rsid w:val="00EB0C7E"/>
    <w:rsid w:val="00EB1587"/>
    <w:rsid w:val="00EC4F3E"/>
    <w:rsid w:val="00EC6922"/>
    <w:rsid w:val="00ED6846"/>
    <w:rsid w:val="00F02F18"/>
    <w:rsid w:val="00F37FC5"/>
    <w:rsid w:val="00F51124"/>
    <w:rsid w:val="00F56EA2"/>
    <w:rsid w:val="00FC6D24"/>
    <w:rsid w:val="00FE5A71"/>
    <w:rsid w:val="00FF0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8F0"/>
    <w:pPr>
      <w:spacing w:after="0" w:line="240" w:lineRule="auto"/>
    </w:pPr>
  </w:style>
  <w:style w:type="table" w:styleId="TableGrid">
    <w:name w:val="Table Grid"/>
    <w:basedOn w:val="TableNormal"/>
    <w:uiPriority w:val="59"/>
    <w:rsid w:val="003908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42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42C6"/>
  </w:style>
  <w:style w:type="paragraph" w:styleId="Footer">
    <w:name w:val="footer"/>
    <w:basedOn w:val="Normal"/>
    <w:link w:val="FooterChar"/>
    <w:uiPriority w:val="99"/>
    <w:unhideWhenUsed/>
    <w:rsid w:val="00C84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2C6"/>
  </w:style>
  <w:style w:type="paragraph" w:styleId="BalloonText">
    <w:name w:val="Balloon Text"/>
    <w:basedOn w:val="Normal"/>
    <w:link w:val="BalloonTextChar"/>
    <w:uiPriority w:val="99"/>
    <w:semiHidden/>
    <w:unhideWhenUsed/>
    <w:rsid w:val="002A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81E"/>
    <w:rPr>
      <w:rFonts w:ascii="Tahoma" w:hAnsi="Tahoma" w:cs="Tahoma"/>
      <w:sz w:val="16"/>
      <w:szCs w:val="16"/>
    </w:rPr>
  </w:style>
  <w:style w:type="character" w:styleId="Hyperlink">
    <w:name w:val="Hyperlink"/>
    <w:basedOn w:val="DefaultParagraphFont"/>
    <w:uiPriority w:val="99"/>
    <w:unhideWhenUsed/>
    <w:rsid w:val="00EC4F3E"/>
    <w:rPr>
      <w:color w:val="0000FF" w:themeColor="hyperlink"/>
      <w:u w:val="single"/>
    </w:rPr>
  </w:style>
  <w:style w:type="character" w:styleId="CommentReference">
    <w:name w:val="annotation reference"/>
    <w:semiHidden/>
    <w:rsid w:val="00133A4C"/>
    <w:rPr>
      <w:sz w:val="16"/>
      <w:szCs w:val="16"/>
    </w:rPr>
  </w:style>
  <w:style w:type="paragraph" w:styleId="CommentText">
    <w:name w:val="annotation text"/>
    <w:basedOn w:val="Normal"/>
    <w:link w:val="CommentTextChar"/>
    <w:semiHidden/>
    <w:rsid w:val="00133A4C"/>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133A4C"/>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 Monroe Authority</dc:creator>
  <cp:lastModifiedBy>Joan Baker</cp:lastModifiedBy>
  <cp:revision>2</cp:revision>
  <cp:lastPrinted>2011-03-15T13:24:00Z</cp:lastPrinted>
  <dcterms:created xsi:type="dcterms:W3CDTF">2014-12-10T19:26:00Z</dcterms:created>
  <dcterms:modified xsi:type="dcterms:W3CDTF">2014-12-10T19:26:00Z</dcterms:modified>
</cp:coreProperties>
</file>